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530336" w:rsidRDefault="00530336">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ЗАКОН за съдебната власт</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Обн., ДВ, бр. 64 от 7.08.2007 г., </w:t>
      </w:r>
      <w:r w:rsidRPr="006D7E1C">
        <w:rPr>
          <w:rFonts w:ascii="Times New Roman" w:hAnsi="Times New Roman"/>
          <w:sz w:val="16"/>
          <w:szCs w:val="16"/>
          <w:lang w:val="x-none"/>
        </w:rPr>
        <w:t>изм., бр. 69 от 5.08.2008 г., изм. и доп., бр. 109 от 23.12.2008 г., доп., бр. 25 от 3.04.2009 г., в сила от 3.04.2009 г., изм. и доп., бр. 33 от 30.04.2009 г., бр. 42 от 5.06.2009 г., изм., бр. 102 от 22.12.2009 г., в сила от 22.12.2009 г., изм. и доп., бр. 103 от 29.12.2009 г., в сила от 29.12.2009 г., доп., бр. 59 от 31.07.2010 г., в сила от 1.01.2011 г., изм. и доп., бр. 1 от 4.01.2011 г., в сила от 4.01.2011 г., изм., бр. 23 от 22.03.2011 г., в сила от 22.03.2011 г., изм. и доп., бр. 32 от 19.04.2011 г., в сила от 19.04.2011 г., бр. 45 от 14.06.2011 г., в сила от 14.06.2011 г., доп., бр. 81 от 18.10.2011 г., изм. и доп., бр. 82 от 21.10.2011 г., в сила от 1.01.2012 г.; изм. с Решение № 10 от 15.11.2011 г. на Конституционния съд на РБ - бр. 93 от 25.11.2011 г.; бр. 20 от 9.03.2012 г., в сила от 10.06.2012 г., изм. и доп., бр. 50 от 3.07.2012 г., изм., бр. 81 от 23.10.2012 г., в сила от 1.09.2012 г., бр. 15 от 15.02.2013 г., в сила от 1.01.2014 г., бр. 17 от 21.02.2013 г., бр. 30 от 26.03.2013 г., в сила от 26.03.2013 г., доп., бр. 52 от 14.06.2013 г., в сила от 14.06.2013 г., изм., бр. 66 от 26.07.2013 г., в сила от 26.07.2013 г., доп., бр. 70 от 9.08.2013 г., в сила от 9.08.2013 г., изм., бр. 71 от 13.08.2013 г., в сила от 13.08.2013 г., бр. 19 от 5.03.2014 г., в сила от 5.03.2014 г., изм. и доп., бр. 21 от 8.03.2014 г., изм., бр. 53 от 27.06.2014 г., бр. 98 от 28.11.2014 г., в сила от 28.11.2014 г., бр. 107 от 24.12.2014 г., в сила от 1.01.2015 г., бр. 14 от 20.02.2015 г., изм. и доп., бр. 28 от 8.04.2016 г., изм., бр. 39 от 26.05.2016 г., в сила от 26.05.2016 г., бр. 50 от 1.07.2016 г., в сила от 1.07.2016 г., изм. и доп., бр. 62 от 9.08.2016 г., в сила от 9.08.2016 г., доп., бр. 76 от 30.09.2016 г., в сила от 9.08.2016 г., изм., бр. 13 от 7.02.2017 г.; Решение № 1 от 31.01.2017 г. на Конституционния съд на РБ - бр. 14 от 10.02.2017 г.; доп., бр. 63 от 4.08.2017 г., в сила от 5.11.2017 г., изм. и доп., бр. 65 от 11.08.2017 г., изм., бр. 85 от 24.10.2017 г., изм. и доп., бр. 90 от 10.11.2017 г., бр. 103 от 28.12.2017 г., в сила от 1.01.2018 г., бр. 7 от 19.01.2018 г., изм., бр. 15 от 16.02.2018 г., в сила от 16.02.2018 г., изм. и доп., бр. 49 от 12.06.2018 г., бр. 77 от 18.09.2018 г., в сила от 1.01.2019 г., бр. 17 от 26.02.2019 г.; изм. с Решение № 2 от 21.02.2019 г. на Конституционния съд на РБ - бр. 19 от 5.03.2019 г.; изм. и доп., бр. 29 от 8.04.2019 г., доп., бр. 64 от 13.08.2019 г., в сила от 13.08.2019 г., изм., бр. 83 от 22.10.2019 г., в сила от 22.10.2019 г., изм. и доп., бр. 11 от 7.02.2020 г., бр. 86 от 6.10.2020 г., доп., бр. 103 от 4.12.2020 г., изм. и доп., бр. 109 от 22.12.2020 г., в сила от 22.12.2020 г., изм., бр. 110 от 29.12.2020 г., в сила от 31.12.2020 г., изм. и доп., бр. 16 от 23.02.2021 г.; изм. с Решение № 7 от 11.05.2021 г. на Конституционния съд на РБ - бр. 41 от 18.05.2021 г.; Решение № 6 от 11.05.2021 г. на Конституционния съд на РБ - бр. 43 от 21.05.2021 г.; изм., бр. 80 от 24.09.2021 г., бр. 15 от 22.02.2022 г., в сила от 22.02.2022 г., доп., бр. 24 от 25.03.2022 г., изм. и доп., бр. 32 от 26.04.2022 г., в сила от 28.07.2022 г.; изм. с Решение № 7 от 14.07.2021 г. на Конституционния съд на РБ - бр. 56 от 19.07.2022 г.; изм. и доп., бр. 62 от 5.08.2022 г., бр. 11 от 2.02.2023 г., в сила от 1.07.2025 г. (*), бр. 48 от 2.06.2023 г., доп., бр. 66 от 1.08.2023 г., бр. 69 от 11.08.2023 г., изм. и доп., бр. 84 от 6.10.2023 г., бр. 86 от 13.10.2023 г., бр. 108 от 30.12.2023 г., в сила от 1.01.2024 г., бр. 18 от 1.03.2024 г., изм., бр. 67 от 9.08.2024 г., в сила от 1.07.2024 г.</w:t>
      </w:r>
      <w:r>
        <w:rPr>
          <w:rFonts w:ascii="Times New Roman" w:hAnsi="Times New Roman"/>
          <w:sz w:val="24"/>
          <w:szCs w:val="24"/>
          <w:lang w:val="x-none"/>
        </w:rPr>
        <w:t>, изм. и доп., бр. 6 от 21.01.2025 г., в сила от 21.01.2025 г.</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530336" w:rsidRDefault="00530336">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двадесет и първа</w:t>
      </w:r>
    </w:p>
    <w:p w:rsidR="00530336" w:rsidRDefault="00530336">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ВЕЩИ ЛИЦА И ПРЕВОДАЧИ</w:t>
      </w:r>
    </w:p>
    <w:p w:rsidR="00530336" w:rsidRDefault="00530336">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доп. - ДВ, бр. 21 от 2014 г.)</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395.</w:t>
      </w:r>
      <w:r>
        <w:rPr>
          <w:rFonts w:ascii="Times New Roman" w:hAnsi="Times New Roman"/>
          <w:sz w:val="24"/>
          <w:szCs w:val="24"/>
          <w:lang w:val="x-none"/>
        </w:rPr>
        <w:t xml:space="preserve"> (1) Вещото лице извършва експертизи.</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Всички държавни органи, юридически лица и граждани, при които се намират материали, необходими за експертизата, са длъжни да осигурят достъп на вещото лице до тях съобразно нивото на достъп до класифицирана информация, което то притежава, както и да оказват необходимото съдействие за изпълнение на задачите на експертизата.</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395а.</w:t>
      </w:r>
      <w:r>
        <w:rPr>
          <w:rFonts w:ascii="Times New Roman" w:hAnsi="Times New Roman"/>
          <w:sz w:val="24"/>
          <w:szCs w:val="24"/>
          <w:lang w:val="x-none"/>
        </w:rPr>
        <w:t xml:space="preserve"> (Нов - ДВ, бр. 21 от 2014 г.) В гражданското, наказателното или административното производство се назначава преводач, когато това е предвидено в закон.</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396.</w:t>
      </w:r>
      <w:r>
        <w:rPr>
          <w:rFonts w:ascii="Times New Roman" w:hAnsi="Times New Roman"/>
          <w:sz w:val="24"/>
          <w:szCs w:val="24"/>
          <w:lang w:val="x-none"/>
        </w:rPr>
        <w:t xml:space="preserve"> (1) (Изм. - ДВ, бр. 1 от 2011 г., в сила от 4.01.2011 г., доп., бр. 21 от 2014 г.) Вещо лице се назначава от органа, който възлага експертизата, от съответния списък на специалисти, утвърдени за вещи лица. За преводач се назначава лице от съответния списък на специалистите, утвърдени за преводачи.</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21 от 2014 г.) При необходимост за вещо лице или преводач може да се назначи и специалист, който не е включен в съответния списък.</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сложност или комплексност на изследването органът може да назначи и повече от едно вещо лице.</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изпълнение на функциите си вещото лице се легитимира с удостоверение, издадено от органа, назначил експертизата.</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397.</w:t>
      </w:r>
      <w:r>
        <w:rPr>
          <w:rFonts w:ascii="Times New Roman" w:hAnsi="Times New Roman"/>
          <w:sz w:val="24"/>
          <w:szCs w:val="24"/>
          <w:lang w:val="x-none"/>
        </w:rPr>
        <w:t xml:space="preserve"> (Доп. - ДВ, бр. 21 от 2014 г.) Не може да се назначи за извършване на експертиза вещо лице или за преводач, лице, което е заинтересовано от изхода на </w:t>
      </w:r>
      <w:r>
        <w:rPr>
          <w:rFonts w:ascii="Times New Roman" w:hAnsi="Times New Roman"/>
          <w:sz w:val="24"/>
          <w:szCs w:val="24"/>
          <w:lang w:val="x-none"/>
        </w:rPr>
        <w:lastRenderedPageBreak/>
        <w:t>производството или има с някоя от страните по делото отношения, които пораждат основателни съмнения в неговата безпристрастност.</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398.</w:t>
      </w:r>
      <w:r>
        <w:rPr>
          <w:rFonts w:ascii="Times New Roman" w:hAnsi="Times New Roman"/>
          <w:sz w:val="24"/>
          <w:szCs w:val="24"/>
          <w:lang w:val="x-none"/>
        </w:rPr>
        <w:t xml:space="preserve"> (1) (Изм. - ДВ, бр. 1 от 2011 г., в сила от 4.01.2011 г., доп., бр. 21 от 2014 г., изм., бр. 32 от 2022 г., в сила от 28.07.2022 г.) За всеки съдебен район на окръжен и на административен съд се съставят списъци на специалистите, утвърдени за вещи лица и за преводачи.</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Върховният касационен съд, Върховният административен съд, Върховната касационна прокуратура, Върховната административна прокуратура и Националната следствена служба при необходимост утвърждават отделни списъци за нуждите на своята дейност.</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21 от 2014 г.) Когато нуждите на съответния орган на съдебната власт налагат това, той може да назначи вещо лице или преводач от списъците на други съдебни райони.</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Списъците по ал. 1 и 2 са публични.</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399.</w:t>
      </w:r>
      <w:r>
        <w:rPr>
          <w:rFonts w:ascii="Times New Roman" w:hAnsi="Times New Roman"/>
          <w:sz w:val="24"/>
          <w:szCs w:val="24"/>
          <w:lang w:val="x-none"/>
        </w:rPr>
        <w:t xml:space="preserve"> (1) (Доп. - ДВ, бр. 21 от 2014 г.) Предложения за включване на специалисти в списъците на вещи лица и преводачи правят министерства, ведомства, учреждения, общини, съсловни и други организации и научни институти.</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21 от 2014 г.) Предложение за включване в списъците на вещи лица и преводачи могат да правят лично и самите специалисти.</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 от 2011 г., в сила от 4.01.2011 г.) Предложенията за включване в списъците по чл. 398, ал. 1 се правят до председателя на съответния съд.</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Предложенията за включване в списъците по чл. 398, ал. 2 се правят до всеки административен ръководител на съответния орган на съдебната власт.</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400.</w:t>
      </w:r>
      <w:r>
        <w:rPr>
          <w:rFonts w:ascii="Times New Roman" w:hAnsi="Times New Roman"/>
          <w:sz w:val="24"/>
          <w:szCs w:val="24"/>
          <w:lang w:val="x-none"/>
        </w:rPr>
        <w:t xml:space="preserve"> (1) (Доп. - ДВ, бр. 21 от 2014 г.) В предложенията се вписват трите имена на специалиста, домашният му адрес, телефон за връзка и данни за неговото образование, специалност, месторабота, заеманата длъжност, продължителността на трудовия му стаж, стажът му като вещо лице или преводач и допълнителната квалификация.</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Обстоятелствата по ал. 1 се удостоверяват със съответните документи, които се прилагат към предложението.</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401.</w:t>
      </w:r>
      <w:r>
        <w:rPr>
          <w:rFonts w:ascii="Times New Roman" w:hAnsi="Times New Roman"/>
          <w:sz w:val="24"/>
          <w:szCs w:val="24"/>
          <w:lang w:val="x-none"/>
        </w:rPr>
        <w:t xml:space="preserve"> (1) (Изм. - ДВ, бр. 33 от 2009 г., бр. 1 от 2011 г., в сила от 4.01.2011 г., бр. 32 от 2022 г., в сила от 28.07.2022 г.) Списъците по чл. 398, ал. 1 се утвърждават от комисия в състав: председателят на апелативния съд или определен от него съдия, апелативният прокурор или определен от него прокурор, председателят на окръжния съд, окръжният прокурор и председателят на административния съд.</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33 от 2009 г.) Списъците по чл. 398, ал. 2 се утвърждават от комисия в състав: председателят на Върховния касационен съд, председателят на Върховния административен съд и главният прокурор.</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Утвърдените списъци се изпращат на министъра на правосъдието за обнародване в "Държавен вестник" и за публикуване в интернет.</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402.</w:t>
      </w:r>
      <w:r>
        <w:rPr>
          <w:rFonts w:ascii="Times New Roman" w:hAnsi="Times New Roman"/>
          <w:sz w:val="24"/>
          <w:szCs w:val="24"/>
          <w:lang w:val="x-none"/>
        </w:rPr>
        <w:t xml:space="preserve"> (1) (Доп. - ДВ, бр. 21 от 2014 г.) Предложения за изменение и допълнение на утвърдените списъци на вещи лица и преводачи се правят до края на септември на съответната календарна година.</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 края на октомври комисиите по чл. 401, ал. 1 и 2 актуализират списъците.</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 15 ноември списъците се изпращат на министъра на правосъдието за обнародване в "Държавен вестник" и за публикуване в интернет.</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Промени в списъците могат да се правят и през текущата година.</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402а.</w:t>
      </w:r>
      <w:r>
        <w:rPr>
          <w:rFonts w:ascii="Times New Roman" w:hAnsi="Times New Roman"/>
          <w:sz w:val="24"/>
          <w:szCs w:val="24"/>
          <w:lang w:val="x-none"/>
        </w:rPr>
        <w:t xml:space="preserve"> (Нов – ДВ, бр. 86 от 2020 г., в сила от 1.01.2021 г.) Към Министерството на </w:t>
      </w:r>
      <w:r>
        <w:rPr>
          <w:rFonts w:ascii="Times New Roman" w:hAnsi="Times New Roman"/>
          <w:sz w:val="24"/>
          <w:szCs w:val="24"/>
          <w:lang w:val="x-none"/>
        </w:rPr>
        <w:lastRenderedPageBreak/>
        <w:t>правосъдието се създава Информационна система "Единен регистър на вещите лица", която съдържа данните, вписани в списъците на специалистите, утвърдени за вещи лица по чл. 398, ал. 1 и 2. Данните се въвеждат в регистъра по разпореждане на съответните административни ръководители в органите на съдебната власт незабавно след утвърждаването на списъците.</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403.</w:t>
      </w:r>
      <w:r>
        <w:rPr>
          <w:rFonts w:ascii="Times New Roman" w:hAnsi="Times New Roman"/>
          <w:sz w:val="24"/>
          <w:szCs w:val="24"/>
          <w:lang w:val="x-none"/>
        </w:rPr>
        <w:t xml:space="preserve"> (1) (Изм. - ДВ, бр. 50 от 2012 г., доп., бр. 62 от 2016 г., в сила от 9.08.2016 г.) Министърът на правосъдието, съгласувано с пленума на Висшия съдебен съвет, издава наредба за:</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реда и сроковете за предложения за включване и промени на списъците на специалистите, утвърдени за вещи лица;</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условията, на които трябва да отговарят специалистите, утвърдени за вещи лица;</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условията и реда за определяне възнагражденията на вещите лица;</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59 от 2010 г., в сила от 1.01.2011 г., отм., бр. 45 от 2011 г., в сила от 14.06.2011 г., нова, бр. 86 от 2020 г., в сила от 1.01.2021 г.) правото на достъп до информационната система по чл. 402а и данните, които се въвеждат в нея.</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21 от 2014 г., доп., бр. 62 от 2016 г., в сила от 9.08.2016 г.) Министърът на правосъдието съгласувано с пленума на Висшия съдебен съвет издава наредба за:</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реда и сроковете за предложения за включване и промени на списъците на специалистите, утвърдени за преводачи;</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условията, на които трябва да отговарят специалистите, утвърдени за преводачи;</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условията и реда за определяне възнагражденията на преводачите.</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изм. - ДВ, бр. 21 от 2014 г.) Наредбите по ал. 1 и 2 се обнародват в "Държавен вестник".</w:t>
      </w:r>
    </w:p>
    <w:p w:rsidR="00530336" w:rsidRDefault="0053033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403а.</w:t>
      </w:r>
      <w:r>
        <w:rPr>
          <w:rFonts w:ascii="Times New Roman" w:hAnsi="Times New Roman"/>
          <w:sz w:val="24"/>
          <w:szCs w:val="24"/>
          <w:lang w:val="x-none"/>
        </w:rPr>
        <w:t xml:space="preserve"> (Нов - ДВ, бр. 45 от 2011 г., в сила от 14.06.2011 г., доп., бр. 62 от 2016 г., в сила от 9.08.2016 г.) Условията и редът за извършването на съдебномедицинските, съдебно-психиатричните и съдебно-психологичните експертизи, включително и за заплащането на разходите на лечебните заведения, се определят с наредба, издадена от министъра на правосъдието, министъра на вътрешните работи и министъра на здравеопазването, съгласувано с пленума на Висшия съдебен съвет.</w:t>
      </w:r>
    </w:p>
    <w:sectPr w:rsidR="0053033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1C"/>
    <w:rsid w:val="003D43EE"/>
    <w:rsid w:val="00530336"/>
    <w:rsid w:val="006D7E1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1573</Words>
  <Characters>8969</Characters>
  <Application>Microsoft Office Word</Application>
  <DocSecurity>0</DocSecurity>
  <Lines>74</Lines>
  <Paragraphs>21</Paragraphs>
  <ScaleCrop>false</ScaleCrop>
  <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Rumiana Rajkova</dc:creator>
  <cp:lastModifiedBy>Rumiana Rajkova</cp:lastModifiedBy>
  <cp:revision>2</cp:revision>
  <dcterms:created xsi:type="dcterms:W3CDTF">2025-03-14T10:36:00Z</dcterms:created>
  <dcterms:modified xsi:type="dcterms:W3CDTF">2025-03-14T10:36:00Z</dcterms:modified>
</cp:coreProperties>
</file>